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503"/>
      </w:tblGrid>
      <w:tr w:rsidR="00602D05" w:rsidRPr="00163411" w:rsidTr="00BE311F">
        <w:trPr>
          <w:trHeight w:val="1241"/>
        </w:trPr>
        <w:tc>
          <w:tcPr>
            <w:tcW w:w="4503" w:type="dxa"/>
          </w:tcPr>
          <w:p w:rsidR="00602D05" w:rsidRPr="00163411" w:rsidRDefault="00602D05" w:rsidP="003566E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387ACD69" wp14:editId="5A270E15">
                  <wp:extent cx="1476375" cy="947406"/>
                  <wp:effectExtent l="0" t="0" r="0" b="5715"/>
                  <wp:docPr id="1" name="Picture 1" descr="AIA_mail_logo_gr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A_mail_logo_gr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:rsidR="00602D05" w:rsidRPr="00776BCA" w:rsidRDefault="00602D05" w:rsidP="00AD4F7A">
            <w:pPr>
              <w:ind w:left="146" w:hanging="120"/>
              <w:rPr>
                <w:rFonts w:ascii="Arial" w:hAnsi="Arial"/>
                <w:b/>
                <w:sz w:val="16"/>
                <w:szCs w:val="16"/>
              </w:rPr>
            </w:pPr>
            <w:r w:rsidRPr="00776BCA">
              <w:rPr>
                <w:rFonts w:ascii="Arial" w:hAnsi="Arial"/>
                <w:b/>
                <w:sz w:val="16"/>
                <w:szCs w:val="16"/>
              </w:rPr>
              <w:t>The Association for International Arbitration</w:t>
            </w:r>
            <w:r w:rsidR="00924C2D">
              <w:rPr>
                <w:rFonts w:ascii="Arial" w:hAnsi="Arial"/>
                <w:b/>
                <w:sz w:val="16"/>
                <w:szCs w:val="16"/>
              </w:rPr>
              <w:t xml:space="preserve">  IVZW</w:t>
            </w:r>
          </w:p>
          <w:p w:rsidR="00602D05" w:rsidRPr="00776BCA" w:rsidRDefault="00602D05" w:rsidP="00AD4F7A">
            <w:pPr>
              <w:ind w:left="146" w:hanging="120"/>
              <w:rPr>
                <w:rFonts w:ascii="Arial" w:hAnsi="Arial"/>
                <w:sz w:val="16"/>
                <w:szCs w:val="16"/>
              </w:rPr>
            </w:pPr>
          </w:p>
          <w:p w:rsidR="00602D05" w:rsidRPr="00776BCA" w:rsidRDefault="00602D05" w:rsidP="00AD4F7A">
            <w:pPr>
              <w:ind w:left="146" w:hanging="120"/>
              <w:rPr>
                <w:rFonts w:ascii="Arial" w:hAnsi="Arial"/>
                <w:sz w:val="16"/>
                <w:szCs w:val="16"/>
              </w:rPr>
            </w:pPr>
            <w:r w:rsidRPr="00776BCA">
              <w:rPr>
                <w:rFonts w:ascii="Arial" w:hAnsi="Arial"/>
                <w:sz w:val="16"/>
                <w:szCs w:val="16"/>
              </w:rPr>
              <w:t>Avenue Louise 146, B-1050 Brussels</w:t>
            </w:r>
          </w:p>
          <w:p w:rsidR="00602D05" w:rsidRPr="00776BCA" w:rsidRDefault="00602D05" w:rsidP="00AD4F7A">
            <w:pPr>
              <w:ind w:left="146" w:hanging="120"/>
              <w:rPr>
                <w:rFonts w:ascii="Arial" w:hAnsi="Arial"/>
                <w:sz w:val="16"/>
                <w:szCs w:val="16"/>
              </w:rPr>
            </w:pPr>
            <w:r w:rsidRPr="00776BCA">
              <w:rPr>
                <w:rFonts w:ascii="Arial" w:hAnsi="Arial"/>
                <w:sz w:val="16"/>
                <w:szCs w:val="16"/>
              </w:rPr>
              <w:t>tel.: +(32) 2 643 33 01</w:t>
            </w:r>
          </w:p>
          <w:p w:rsidR="00602D05" w:rsidRPr="00776BCA" w:rsidRDefault="00602D05" w:rsidP="00BE311F">
            <w:pPr>
              <w:tabs>
                <w:tab w:val="left" w:pos="3995"/>
              </w:tabs>
              <w:ind w:left="146" w:hanging="120"/>
              <w:rPr>
                <w:rFonts w:ascii="Arial" w:hAnsi="Arial"/>
                <w:sz w:val="16"/>
                <w:szCs w:val="16"/>
              </w:rPr>
            </w:pPr>
            <w:r w:rsidRPr="00776BCA">
              <w:rPr>
                <w:rFonts w:ascii="Arial" w:hAnsi="Arial"/>
                <w:sz w:val="16"/>
                <w:szCs w:val="16"/>
              </w:rPr>
              <w:t>fax: +(32) 2 646 24 31</w:t>
            </w:r>
          </w:p>
          <w:p w:rsidR="00602D05" w:rsidRPr="00776BCA" w:rsidRDefault="00602D05" w:rsidP="00AD4F7A">
            <w:pPr>
              <w:rPr>
                <w:rFonts w:ascii="Arial" w:hAnsi="Arial"/>
                <w:sz w:val="16"/>
                <w:szCs w:val="16"/>
              </w:rPr>
            </w:pPr>
            <w:r w:rsidRPr="00776BCA">
              <w:rPr>
                <w:rFonts w:ascii="Arial" w:hAnsi="Arial"/>
                <w:sz w:val="16"/>
                <w:szCs w:val="16"/>
              </w:rPr>
              <w:t>e-mail: administration@arbitration-adr.org</w:t>
            </w:r>
          </w:p>
          <w:p w:rsidR="00602D05" w:rsidRPr="00163411" w:rsidRDefault="00602D05" w:rsidP="00AD4F7A">
            <w:pPr>
              <w:rPr>
                <w:rFonts w:ascii="Arial" w:hAnsi="Arial"/>
                <w:sz w:val="16"/>
                <w:szCs w:val="16"/>
              </w:rPr>
            </w:pPr>
            <w:r w:rsidRPr="00163411">
              <w:rPr>
                <w:rFonts w:ascii="Arial" w:hAnsi="Arial"/>
                <w:sz w:val="16"/>
                <w:szCs w:val="16"/>
              </w:rPr>
              <w:t>web:    www.arbitration-adr.org</w:t>
            </w:r>
          </w:p>
        </w:tc>
      </w:tr>
    </w:tbl>
    <w:p w:rsidR="00CE269E" w:rsidRPr="0053036A" w:rsidRDefault="00602D05" w:rsidP="00554250">
      <w:pPr>
        <w:pBdr>
          <w:bottom w:val="single" w:sz="6" w:space="2" w:color="auto"/>
        </w:pBdr>
      </w:pPr>
      <w:r w:rsidRPr="0053036A">
        <w:t xml:space="preserve"> </w:t>
      </w:r>
    </w:p>
    <w:p w:rsidR="00602D05" w:rsidRPr="00CE269E" w:rsidRDefault="00CE269E" w:rsidP="00CE269E">
      <w:pPr>
        <w:pBdr>
          <w:bottom w:val="single" w:sz="6" w:space="2" w:color="auto"/>
        </w:pBdr>
        <w:jc w:val="center"/>
        <w:rPr>
          <w:b/>
          <w:color w:val="1F497D" w:themeColor="text2"/>
          <w:sz w:val="40"/>
          <w:szCs w:val="40"/>
          <w:lang w:val="en-GB"/>
        </w:rPr>
      </w:pPr>
      <w:r w:rsidRPr="00CE269E">
        <w:rPr>
          <w:b/>
          <w:color w:val="1F497D" w:themeColor="text2"/>
          <w:sz w:val="40"/>
          <w:szCs w:val="40"/>
          <w:lang w:val="en-GB"/>
        </w:rPr>
        <w:t xml:space="preserve">Conference </w:t>
      </w:r>
      <w:r>
        <w:rPr>
          <w:b/>
          <w:color w:val="1F497D" w:themeColor="text2"/>
          <w:sz w:val="40"/>
          <w:szCs w:val="40"/>
          <w:lang w:val="en-GB"/>
        </w:rPr>
        <w:t xml:space="preserve">on </w:t>
      </w:r>
      <w:r w:rsidRPr="00CE269E">
        <w:rPr>
          <w:b/>
          <w:color w:val="1F497D" w:themeColor="text2"/>
          <w:sz w:val="40"/>
          <w:szCs w:val="40"/>
          <w:lang w:val="en-GB"/>
        </w:rPr>
        <w:t>Online Dispute Resolution</w:t>
      </w:r>
    </w:p>
    <w:p w:rsidR="00105E6A" w:rsidRDefault="00924C2D" w:rsidP="00924C2D">
      <w:pPr>
        <w:pBdr>
          <w:bottom w:val="single" w:sz="6" w:space="2" w:color="auto"/>
        </w:pBdr>
        <w:jc w:val="center"/>
        <w:rPr>
          <w:b/>
          <w:color w:val="1F497D" w:themeColor="text2"/>
          <w:sz w:val="32"/>
          <w:szCs w:val="32"/>
          <w:lang w:val="en-US"/>
        </w:rPr>
      </w:pPr>
      <w:r w:rsidRPr="00105E6A">
        <w:rPr>
          <w:b/>
          <w:color w:val="1F497D" w:themeColor="text2"/>
          <w:sz w:val="32"/>
          <w:szCs w:val="32"/>
          <w:lang w:val="en-US"/>
        </w:rPr>
        <w:t xml:space="preserve">Followed by a Networking Cocktail </w:t>
      </w:r>
    </w:p>
    <w:p w:rsidR="00BE311F" w:rsidRPr="00105E6A" w:rsidRDefault="00BE311F" w:rsidP="00924C2D">
      <w:pPr>
        <w:pBdr>
          <w:bottom w:val="single" w:sz="6" w:space="2" w:color="auto"/>
        </w:pBdr>
        <w:jc w:val="center"/>
        <w:rPr>
          <w:b/>
          <w:color w:val="1F497D" w:themeColor="text2"/>
          <w:sz w:val="32"/>
          <w:szCs w:val="32"/>
          <w:lang w:val="en-US"/>
        </w:rPr>
      </w:pPr>
    </w:p>
    <w:p w:rsidR="00BE311F" w:rsidRDefault="00BE311F" w:rsidP="00602D05">
      <w:pPr>
        <w:jc w:val="center"/>
        <w:rPr>
          <w:b/>
          <w:bCs/>
          <w:i/>
          <w:sz w:val="32"/>
          <w:szCs w:val="32"/>
          <w:lang w:val="en-US"/>
        </w:rPr>
      </w:pPr>
    </w:p>
    <w:p w:rsidR="00602D05" w:rsidRDefault="00B77BA0" w:rsidP="00602D05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bCs/>
          <w:i/>
          <w:sz w:val="32"/>
          <w:szCs w:val="32"/>
          <w:lang w:val="en-US"/>
        </w:rPr>
        <w:t>Wednesday 18</w:t>
      </w:r>
      <w:r w:rsidRPr="00B77BA0">
        <w:rPr>
          <w:b/>
          <w:bCs/>
          <w:i/>
          <w:sz w:val="32"/>
          <w:szCs w:val="32"/>
          <w:vertAlign w:val="superscript"/>
          <w:lang w:val="en-US"/>
        </w:rPr>
        <w:t>th</w:t>
      </w:r>
      <w:r>
        <w:rPr>
          <w:b/>
          <w:bCs/>
          <w:i/>
          <w:sz w:val="32"/>
          <w:szCs w:val="32"/>
          <w:lang w:val="en-US"/>
        </w:rPr>
        <w:t xml:space="preserve"> of September </w:t>
      </w:r>
      <w:r w:rsidR="00602D05" w:rsidRPr="00827B8D">
        <w:rPr>
          <w:b/>
          <w:bCs/>
          <w:i/>
          <w:sz w:val="32"/>
          <w:szCs w:val="32"/>
          <w:lang w:val="en-US"/>
        </w:rPr>
        <w:t>2013 (</w:t>
      </w:r>
      <w:r>
        <w:rPr>
          <w:b/>
          <w:bCs/>
          <w:i/>
          <w:sz w:val="32"/>
          <w:szCs w:val="32"/>
          <w:lang w:val="en-US"/>
        </w:rPr>
        <w:t>2.00</w:t>
      </w:r>
      <w:r w:rsidR="000409D1">
        <w:rPr>
          <w:b/>
          <w:bCs/>
          <w:i/>
          <w:sz w:val="32"/>
          <w:szCs w:val="32"/>
          <w:lang w:val="en-US"/>
        </w:rPr>
        <w:t xml:space="preserve"> pm</w:t>
      </w:r>
      <w:r w:rsidR="004F4C25" w:rsidRPr="00827B8D">
        <w:rPr>
          <w:b/>
          <w:bCs/>
          <w:i/>
          <w:sz w:val="32"/>
          <w:szCs w:val="32"/>
          <w:lang w:val="en-US"/>
        </w:rPr>
        <w:t xml:space="preserve"> –</w:t>
      </w:r>
      <w:r w:rsidR="00602D05" w:rsidRPr="00827B8D">
        <w:rPr>
          <w:b/>
          <w:bCs/>
          <w:i/>
          <w:sz w:val="32"/>
          <w:szCs w:val="32"/>
          <w:lang w:val="en-US"/>
        </w:rPr>
        <w:t xml:space="preserve"> 5</w:t>
      </w:r>
      <w:r>
        <w:rPr>
          <w:b/>
          <w:bCs/>
          <w:i/>
          <w:sz w:val="32"/>
          <w:szCs w:val="32"/>
          <w:lang w:val="en-US"/>
        </w:rPr>
        <w:t>.00</w:t>
      </w:r>
      <w:r w:rsidR="00602D05" w:rsidRPr="00827B8D">
        <w:rPr>
          <w:b/>
          <w:bCs/>
          <w:i/>
          <w:sz w:val="32"/>
          <w:szCs w:val="32"/>
          <w:lang w:val="en-US"/>
        </w:rPr>
        <w:t xml:space="preserve"> </w:t>
      </w:r>
      <w:r w:rsidR="0022552F" w:rsidRPr="00827B8D">
        <w:rPr>
          <w:b/>
          <w:bCs/>
          <w:i/>
          <w:sz w:val="32"/>
          <w:szCs w:val="32"/>
          <w:lang w:val="en-US"/>
        </w:rPr>
        <w:t>pm</w:t>
      </w:r>
      <w:r w:rsidR="00602D05" w:rsidRPr="00827B8D">
        <w:rPr>
          <w:b/>
          <w:i/>
          <w:sz w:val="32"/>
          <w:szCs w:val="32"/>
          <w:lang w:val="en-US"/>
        </w:rPr>
        <w:t>)</w:t>
      </w:r>
    </w:p>
    <w:p w:rsidR="000921FE" w:rsidRDefault="000921FE" w:rsidP="00602D05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At the Insti</w:t>
      </w:r>
      <w:r w:rsidR="002B62A7">
        <w:rPr>
          <w:b/>
          <w:i/>
          <w:sz w:val="32"/>
          <w:szCs w:val="32"/>
          <w:lang w:val="en-US"/>
        </w:rPr>
        <w:t>t</w:t>
      </w:r>
      <w:r>
        <w:rPr>
          <w:b/>
          <w:i/>
          <w:sz w:val="32"/>
          <w:szCs w:val="32"/>
          <w:lang w:val="en-US"/>
        </w:rPr>
        <w:t>ute for European S</w:t>
      </w:r>
      <w:r w:rsidR="00CC2832">
        <w:rPr>
          <w:b/>
          <w:i/>
          <w:sz w:val="32"/>
          <w:szCs w:val="32"/>
          <w:lang w:val="en-US"/>
        </w:rPr>
        <w:t xml:space="preserve">tudies, ‘Rome’ room, </w:t>
      </w:r>
      <w:proofErr w:type="spellStart"/>
      <w:r w:rsidR="00CC2832">
        <w:rPr>
          <w:b/>
          <w:i/>
          <w:sz w:val="32"/>
          <w:szCs w:val="32"/>
          <w:lang w:val="en-US"/>
        </w:rPr>
        <w:t>Pleinlaan</w:t>
      </w:r>
      <w:proofErr w:type="spellEnd"/>
      <w:r w:rsidR="00CC2832">
        <w:rPr>
          <w:b/>
          <w:i/>
          <w:sz w:val="32"/>
          <w:szCs w:val="32"/>
          <w:lang w:val="en-US"/>
        </w:rPr>
        <w:t xml:space="preserve"> 5</w:t>
      </w:r>
      <w:r>
        <w:rPr>
          <w:b/>
          <w:i/>
          <w:sz w:val="32"/>
          <w:szCs w:val="32"/>
          <w:lang w:val="en-US"/>
        </w:rPr>
        <w:t xml:space="preserve"> </w:t>
      </w:r>
    </w:p>
    <w:p w:rsidR="000921FE" w:rsidRDefault="000921FE" w:rsidP="00602D05">
      <w:pPr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1050, Brussels, Belgium</w:t>
      </w:r>
    </w:p>
    <w:p w:rsidR="00BE311F" w:rsidRDefault="00BE311F" w:rsidP="00602D05">
      <w:pPr>
        <w:jc w:val="center"/>
        <w:rPr>
          <w:rFonts w:ascii="Verdana" w:eastAsia="Times New Roman" w:hAnsi="Verdana" w:cs="Helvetica"/>
          <w:color w:val="7C7C7C"/>
          <w:sz w:val="14"/>
          <w:szCs w:val="14"/>
          <w:lang w:val="en-GB"/>
        </w:rPr>
      </w:pPr>
    </w:p>
    <w:p w:rsidR="00B77BA0" w:rsidRPr="00BE311F" w:rsidRDefault="00827B8D" w:rsidP="00BE311F">
      <w:pPr>
        <w:pStyle w:val="ListParagraph"/>
        <w:numPr>
          <w:ilvl w:val="0"/>
          <w:numId w:val="6"/>
        </w:numPr>
        <w:jc w:val="both"/>
        <w:rPr>
          <w:b/>
          <w:i/>
          <w:sz w:val="32"/>
          <w:szCs w:val="32"/>
          <w:lang w:val="en-GB"/>
        </w:rPr>
      </w:pPr>
      <w:r w:rsidRPr="00BE311F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PURPOSE: </w:t>
      </w:r>
      <w:r w:rsidR="00BE311F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To raise awareness and highlight the growing importance of ODR, discuss the impact of the</w:t>
      </w:r>
      <w:r w:rsidR="00BE311F">
        <w:rPr>
          <w:lang w:val="en-GB"/>
        </w:rPr>
        <w:t xml:space="preserve"> Directive of the European Parliament and of the C</w:t>
      </w:r>
      <w:r w:rsidR="00BE311F" w:rsidRPr="00D420BD">
        <w:rPr>
          <w:lang w:val="en-GB"/>
        </w:rPr>
        <w:t>ouncil on alternative dispute resolution for consumer disputes and amending Regulation (March 12, 2013)</w:t>
      </w:r>
      <w:r w:rsidR="00BE311F">
        <w:rPr>
          <w:lang w:val="en-GB"/>
        </w:rPr>
        <w:t xml:space="preserve">, examine the UNCITRAL online dispute resolution rules for consumers and consider </w:t>
      </w:r>
      <w:r w:rsidR="00BE311F" w:rsidRPr="00D420BD">
        <w:rPr>
          <w:lang w:val="en-GB"/>
        </w:rPr>
        <w:t>what</w:t>
      </w:r>
      <w:r w:rsidR="00BE311F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the future holds for ODR on both European and International scales.</w:t>
      </w:r>
    </w:p>
    <w:p w:rsidR="00B77BA0" w:rsidRDefault="00B77BA0" w:rsidP="00BE311F">
      <w:pPr>
        <w:pStyle w:val="ListParagraph"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B77BA0" w:rsidRPr="0053036A" w:rsidRDefault="00DE4832" w:rsidP="00BE311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53036A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PRESENTATIONS</w:t>
      </w:r>
      <w:r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: Selected speakers </w:t>
      </w:r>
      <w:r w:rsidR="002601A8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from </w:t>
      </w:r>
      <w:r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will elaborate on </w:t>
      </w:r>
      <w:r w:rsidR="00B77BA0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the impact of the EU </w:t>
      </w:r>
      <w:r w:rsidR="00D420BD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Directive and </w:t>
      </w:r>
      <w:r w:rsidR="00B77BA0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Regulation on consumers</w:t>
      </w:r>
      <w:r w:rsidR="002B62A7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as well as the development of UNCITRAL </w:t>
      </w:r>
      <w:r w:rsid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online dispute resolution rules</w:t>
      </w:r>
      <w:r w:rsidR="002B62A7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so as to</w:t>
      </w:r>
      <w:r w:rsidR="00B77BA0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  <w:r w:rsidR="002B62A7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determine what </w:t>
      </w:r>
      <w:r w:rsidR="00B77BA0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the future </w:t>
      </w:r>
      <w:r w:rsidR="002B62A7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holds for </w:t>
      </w:r>
      <w:r w:rsidR="00B77BA0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ODR both in the EU and Internationally.</w:t>
      </w:r>
      <w:r w:rsidR="00BE51FA" w:rsidRPr="0053036A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</w:p>
    <w:p w:rsidR="0053036A" w:rsidRPr="0053036A" w:rsidRDefault="0053036A" w:rsidP="00BE311F">
      <w:pPr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827B8D" w:rsidRPr="00827B8D" w:rsidRDefault="00827B8D" w:rsidP="00BE311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827B8D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FEE:  </w:t>
      </w:r>
      <w:r w:rsidR="00B77BA0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50</w:t>
      </w:r>
      <w:r w:rsidR="00DE722E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Euros (VAT included</w:t>
      </w:r>
      <w:r w:rsidR="00DE483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), n</w:t>
      </w:r>
      <w:r w:rsidRPr="00827B8D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ot applicable f</w:t>
      </w:r>
      <w:r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or AIA members and EMTPJ</w:t>
      </w:r>
      <w:r w:rsidR="00DE483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alumni</w:t>
      </w:r>
    </w:p>
    <w:p w:rsidR="00827B8D" w:rsidRPr="00827B8D" w:rsidRDefault="00827B8D" w:rsidP="00BE311F">
      <w:pPr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827B8D" w:rsidRPr="00827B8D" w:rsidRDefault="00B77BA0" w:rsidP="00BE311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WORKING LANGUAGE</w:t>
      </w:r>
      <w:r w:rsidR="00827B8D" w:rsidRPr="00827B8D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: </w:t>
      </w:r>
      <w:r w:rsidR="00827B8D" w:rsidRPr="00827B8D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</w:t>
      </w:r>
    </w:p>
    <w:p w:rsidR="00827B8D" w:rsidRDefault="00827B8D" w:rsidP="00827B8D">
      <w:pPr>
        <w:jc w:val="both"/>
        <w:rPr>
          <w:rFonts w:asciiTheme="minorHAnsi" w:hAnsiTheme="minorHAnsi" w:cs="Century Gothic"/>
          <w:b/>
          <w:bCs/>
          <w:color w:val="000000"/>
          <w:sz w:val="32"/>
          <w:szCs w:val="32"/>
          <w:lang w:val="en-US"/>
        </w:rPr>
      </w:pPr>
      <w:bookmarkStart w:id="0" w:name="_GoBack"/>
      <w:bookmarkEnd w:id="0"/>
    </w:p>
    <w:p w:rsidR="00602D05" w:rsidRDefault="00602D05" w:rsidP="00F5270B">
      <w:pPr>
        <w:pStyle w:val="CM1"/>
        <w:jc w:val="center"/>
        <w:rPr>
          <w:b/>
          <w:bCs/>
          <w:i/>
          <w:iCs/>
          <w:color w:val="1F497D" w:themeColor="text2"/>
          <w:sz w:val="20"/>
          <w:szCs w:val="20"/>
        </w:rPr>
      </w:pPr>
      <w:r>
        <w:t xml:space="preserve"> </w:t>
      </w:r>
      <w:r>
        <w:rPr>
          <w:b/>
          <w:bCs/>
          <w:i/>
          <w:iCs/>
          <w:color w:val="000000"/>
          <w:sz w:val="23"/>
          <w:szCs w:val="23"/>
        </w:rPr>
        <w:t xml:space="preserve"> REGISTRATION FORM:</w:t>
      </w:r>
      <w:r w:rsidRPr="00602D05">
        <w:rPr>
          <w:b/>
          <w:bCs/>
          <w:i/>
          <w:iCs/>
          <w:color w:val="1F497D" w:themeColor="text2"/>
          <w:sz w:val="20"/>
          <w:szCs w:val="20"/>
        </w:rPr>
        <w:t xml:space="preserve"> </w:t>
      </w:r>
    </w:p>
    <w:p w:rsidR="00602D05" w:rsidRPr="00602D05" w:rsidRDefault="00602D05" w:rsidP="00924C2D">
      <w:pPr>
        <w:pStyle w:val="Default"/>
        <w:rPr>
          <w:b/>
          <w:bCs/>
          <w:i/>
          <w:iCs/>
          <w:sz w:val="20"/>
          <w:szCs w:val="20"/>
        </w:rPr>
      </w:pPr>
    </w:p>
    <w:p w:rsidR="00602D05" w:rsidRPr="00602D05" w:rsidRDefault="00602D05" w:rsidP="00924C2D">
      <w:pPr>
        <w:pStyle w:val="CM1"/>
        <w:rPr>
          <w:b/>
          <w:bCs/>
          <w:i/>
          <w:iCs/>
          <w:color w:val="000000"/>
          <w:sz w:val="20"/>
          <w:szCs w:val="20"/>
        </w:rPr>
      </w:pPr>
      <w:r w:rsidRPr="00602D05">
        <w:rPr>
          <w:b/>
          <w:bCs/>
          <w:i/>
          <w:iCs/>
          <w:color w:val="000000"/>
          <w:sz w:val="20"/>
          <w:szCs w:val="20"/>
        </w:rPr>
        <w:t>First Name ____________________________ Last Name __</w:t>
      </w:r>
      <w:r w:rsidR="00924C2D">
        <w:rPr>
          <w:b/>
          <w:bCs/>
          <w:i/>
          <w:iCs/>
          <w:color w:val="000000"/>
          <w:sz w:val="20"/>
          <w:szCs w:val="20"/>
        </w:rPr>
        <w:t>_______________________________</w:t>
      </w:r>
    </w:p>
    <w:p w:rsidR="00602D05" w:rsidRPr="00602D05" w:rsidRDefault="00602D05" w:rsidP="00924C2D">
      <w:pPr>
        <w:pStyle w:val="CM4"/>
        <w:spacing w:line="488" w:lineRule="atLeast"/>
        <w:rPr>
          <w:b/>
          <w:bCs/>
          <w:i/>
          <w:iCs/>
          <w:color w:val="000000"/>
          <w:sz w:val="20"/>
          <w:szCs w:val="20"/>
        </w:rPr>
      </w:pPr>
      <w:r w:rsidRPr="00602D05">
        <w:rPr>
          <w:b/>
          <w:bCs/>
          <w:i/>
          <w:iCs/>
          <w:color w:val="000000"/>
          <w:sz w:val="20"/>
          <w:szCs w:val="20"/>
        </w:rPr>
        <w:t xml:space="preserve">Occupation _________________________________ </w:t>
      </w:r>
      <w:r w:rsidR="004F4C25" w:rsidRPr="00602D05">
        <w:rPr>
          <w:b/>
          <w:bCs/>
          <w:i/>
          <w:iCs/>
          <w:color w:val="000000"/>
          <w:sz w:val="20"/>
          <w:szCs w:val="20"/>
        </w:rPr>
        <w:t>Organization</w:t>
      </w:r>
      <w:r w:rsidR="00855371">
        <w:rPr>
          <w:b/>
          <w:bCs/>
          <w:i/>
          <w:iCs/>
          <w:color w:val="000000"/>
          <w:sz w:val="20"/>
          <w:szCs w:val="20"/>
        </w:rPr>
        <w:t>_____________________</w:t>
      </w:r>
      <w:r w:rsidRPr="00602D05">
        <w:rPr>
          <w:b/>
          <w:bCs/>
          <w:i/>
          <w:iCs/>
          <w:color w:val="000000"/>
          <w:sz w:val="20"/>
          <w:szCs w:val="20"/>
        </w:rPr>
        <w:t>_____ Address</w:t>
      </w:r>
      <w:r w:rsidR="00855371">
        <w:rPr>
          <w:b/>
          <w:bCs/>
          <w:i/>
          <w:iCs/>
          <w:color w:val="000000"/>
          <w:sz w:val="20"/>
          <w:szCs w:val="20"/>
        </w:rPr>
        <w:t>______</w:t>
      </w:r>
      <w:r>
        <w:rPr>
          <w:b/>
          <w:bCs/>
          <w:i/>
          <w:iCs/>
          <w:color w:val="000000"/>
          <w:sz w:val="20"/>
          <w:szCs w:val="20"/>
        </w:rPr>
        <w:t>_</w:t>
      </w:r>
      <w:r w:rsidRPr="00602D05">
        <w:rPr>
          <w:b/>
          <w:bCs/>
          <w:i/>
          <w:iCs/>
          <w:color w:val="000000"/>
          <w:sz w:val="20"/>
          <w:szCs w:val="20"/>
        </w:rPr>
        <w:t>___________________________________________________________________ Telephone ____</w:t>
      </w:r>
      <w:r w:rsidR="00827B8D">
        <w:rPr>
          <w:b/>
          <w:bCs/>
          <w:i/>
          <w:iCs/>
          <w:color w:val="000000"/>
          <w:sz w:val="20"/>
          <w:szCs w:val="20"/>
        </w:rPr>
        <w:t>___________</w:t>
      </w:r>
      <w:r w:rsidR="00855371">
        <w:rPr>
          <w:b/>
          <w:bCs/>
          <w:i/>
          <w:iCs/>
          <w:color w:val="000000"/>
          <w:sz w:val="20"/>
          <w:szCs w:val="20"/>
        </w:rPr>
        <w:t>___________ Fax ________/________</w:t>
      </w:r>
      <w:r w:rsidRPr="00602D05">
        <w:rPr>
          <w:b/>
          <w:bCs/>
          <w:i/>
          <w:iCs/>
          <w:color w:val="000000"/>
          <w:sz w:val="20"/>
          <w:szCs w:val="20"/>
        </w:rPr>
        <w:t>__________</w:t>
      </w:r>
      <w:r>
        <w:rPr>
          <w:b/>
          <w:bCs/>
          <w:i/>
          <w:iCs/>
          <w:color w:val="000000"/>
          <w:sz w:val="20"/>
          <w:szCs w:val="20"/>
        </w:rPr>
        <w:t>_</w:t>
      </w:r>
      <w:r w:rsidRPr="00602D05">
        <w:rPr>
          <w:b/>
          <w:bCs/>
          <w:i/>
          <w:iCs/>
          <w:color w:val="000000"/>
          <w:sz w:val="20"/>
          <w:szCs w:val="20"/>
        </w:rPr>
        <w:t>______________</w:t>
      </w:r>
    </w:p>
    <w:p w:rsidR="00602D05" w:rsidRPr="00602D05" w:rsidRDefault="00602D05" w:rsidP="00924C2D">
      <w:pPr>
        <w:pStyle w:val="CM4"/>
        <w:spacing w:line="488" w:lineRule="atLeast"/>
        <w:rPr>
          <w:b/>
          <w:bCs/>
          <w:i/>
          <w:iCs/>
          <w:color w:val="000000"/>
          <w:sz w:val="20"/>
          <w:szCs w:val="20"/>
        </w:rPr>
      </w:pPr>
      <w:r w:rsidRPr="00602D05">
        <w:rPr>
          <w:b/>
          <w:bCs/>
          <w:i/>
          <w:iCs/>
          <w:color w:val="000000"/>
          <w:sz w:val="20"/>
          <w:szCs w:val="20"/>
        </w:rPr>
        <w:t>Email _____________________________</w:t>
      </w:r>
      <w:r w:rsidR="00827B8D">
        <w:rPr>
          <w:b/>
          <w:bCs/>
          <w:i/>
          <w:iCs/>
          <w:color w:val="000000"/>
          <w:sz w:val="20"/>
          <w:szCs w:val="20"/>
        </w:rPr>
        <w:t>________________________________</w:t>
      </w:r>
      <w:r w:rsidRPr="00602D05">
        <w:rPr>
          <w:b/>
          <w:bCs/>
          <w:i/>
          <w:iCs/>
          <w:color w:val="000000"/>
          <w:sz w:val="20"/>
          <w:szCs w:val="20"/>
        </w:rPr>
        <w:t>_____</w:t>
      </w:r>
      <w:r>
        <w:rPr>
          <w:b/>
          <w:bCs/>
          <w:i/>
          <w:iCs/>
          <w:color w:val="000000"/>
          <w:sz w:val="20"/>
          <w:szCs w:val="20"/>
        </w:rPr>
        <w:t>__________</w:t>
      </w:r>
    </w:p>
    <w:p w:rsidR="00105E6A" w:rsidRDefault="00105E6A" w:rsidP="00776BCA">
      <w:pP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05"/>
      </w:tblGrid>
      <w:tr w:rsidR="00BE311F" w:rsidRPr="00DE722E" w:rsidTr="00C644CF">
        <w:trPr>
          <w:trHeight w:val="1480"/>
        </w:trPr>
        <w:tc>
          <w:tcPr>
            <w:tcW w:w="3705" w:type="dxa"/>
          </w:tcPr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 xml:space="preserve">Bank-account number:  </w:t>
            </w:r>
            <w:r w:rsidRPr="00F5270B">
              <w:rPr>
                <w:rFonts w:ascii="Arial" w:hAnsi="Arial"/>
                <w:b/>
                <w:sz w:val="16"/>
                <w:szCs w:val="16"/>
              </w:rPr>
              <w:t>310-1688167-65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ING Bank Belgium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F5270B">
              <w:rPr>
                <w:rFonts w:ascii="Arial" w:hAnsi="Arial"/>
                <w:sz w:val="16"/>
                <w:szCs w:val="16"/>
              </w:rPr>
              <w:t>Marnixlaan</w:t>
            </w:r>
            <w:proofErr w:type="spellEnd"/>
            <w:r w:rsidRPr="00F5270B">
              <w:rPr>
                <w:rFonts w:ascii="Arial" w:hAnsi="Arial"/>
                <w:sz w:val="16"/>
                <w:szCs w:val="16"/>
              </w:rPr>
              <w:t xml:space="preserve"> 24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1000 Brussels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Belgium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IBAN paper form: BE18 3101 6881 6765</w:t>
            </w:r>
          </w:p>
          <w:p w:rsidR="00BE311F" w:rsidRPr="00F5270B" w:rsidRDefault="00BE311F" w:rsidP="00C644CF">
            <w:pPr>
              <w:pStyle w:val="Footer"/>
              <w:rPr>
                <w:rFonts w:ascii="Arial" w:hAnsi="Arial"/>
                <w:sz w:val="16"/>
                <w:szCs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IBAN electronic form: BE18310168816765</w:t>
            </w:r>
          </w:p>
          <w:p w:rsidR="00BE311F" w:rsidRPr="0004415D" w:rsidRDefault="00BE311F" w:rsidP="00C644CF">
            <w:pPr>
              <w:pStyle w:val="Footer"/>
              <w:rPr>
                <w:rFonts w:ascii="Arial" w:hAnsi="Arial"/>
                <w:color w:val="808080"/>
                <w:sz w:val="16"/>
              </w:rPr>
            </w:pPr>
            <w:r w:rsidRPr="00F5270B">
              <w:rPr>
                <w:rFonts w:ascii="Arial" w:hAnsi="Arial"/>
                <w:sz w:val="16"/>
                <w:szCs w:val="16"/>
              </w:rPr>
              <w:t>BIC/SWIFT code: BBRUBEBB</w:t>
            </w:r>
          </w:p>
        </w:tc>
      </w:tr>
    </w:tbl>
    <w:p w:rsidR="00105E6A" w:rsidRPr="00BE311F" w:rsidRDefault="00105E6A" w:rsidP="00776BCA">
      <w:pP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GB"/>
        </w:rPr>
      </w:pPr>
    </w:p>
    <w:p w:rsidR="00924C2D" w:rsidRDefault="00105E6A" w:rsidP="00776BCA">
      <w:pP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u w:val="single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ab/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ab/>
      </w:r>
      <w:r w:rsidR="00AD4F7A">
        <w:rPr>
          <w:rFonts w:ascii="Arial" w:eastAsia="SimSun" w:hAnsi="Arial" w:cs="Arial"/>
          <w:bCs/>
          <w:i/>
          <w:iCs/>
          <w:color w:val="000000"/>
          <w:sz w:val="20"/>
          <w:szCs w:val="20"/>
          <w:lang w:val="en-US"/>
        </w:rPr>
        <w:t>S</w:t>
      </w:r>
      <w:r>
        <w:rPr>
          <w:rFonts w:ascii="Arial" w:eastAsia="SimSun" w:hAnsi="Arial" w:cs="Arial"/>
          <w:bCs/>
          <w:i/>
          <w:iCs/>
          <w:color w:val="000000"/>
          <w:sz w:val="20"/>
          <w:szCs w:val="20"/>
          <w:lang w:val="en-US"/>
        </w:rPr>
        <w:t>ponsored by:</w:t>
      </w:r>
    </w:p>
    <w:p w:rsidR="00602D05" w:rsidRPr="00FB2C73" w:rsidRDefault="00105E6A" w:rsidP="00AD4F7A">
      <w:pPr>
        <w:jc w:val="right"/>
        <w:rPr>
          <w:lang w:val="en-US"/>
        </w:rPr>
      </w:pPr>
      <w:r>
        <w:rPr>
          <w:rFonts w:ascii="Arial" w:eastAsia="SimSun" w:hAnsi="Arial" w:cs="Arial"/>
          <w:b/>
          <w:bCs/>
          <w:i/>
          <w:iCs/>
          <w:noProof/>
          <w:color w:val="000000"/>
          <w:sz w:val="20"/>
          <w:szCs w:val="20"/>
          <w:u w:val="single"/>
          <w:lang w:eastAsia="nl-BE"/>
        </w:rPr>
        <w:drawing>
          <wp:inline distT="0" distB="0" distL="0" distR="0" wp14:anchorId="34B5D760" wp14:editId="3F145FCF">
            <wp:extent cx="2438400" cy="990600"/>
            <wp:effectExtent l="0" t="0" r="0" b="0"/>
            <wp:docPr id="4" name="Picture 4" descr="\\server1\clinet\ALL\BILLIET_JOHAN\00-000b\aia visuals\logo_billiet and 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clinet\ALL\BILLIET_JOHAN\00-000b\aia visuals\logo_billiet and c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D05" w:rsidRPr="00FB2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9E" w:rsidRDefault="00CE269E" w:rsidP="00602D05">
      <w:r>
        <w:separator/>
      </w:r>
    </w:p>
  </w:endnote>
  <w:endnote w:type="continuationSeparator" w:id="0">
    <w:p w:rsidR="00CE269E" w:rsidRDefault="00CE269E" w:rsidP="006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9E" w:rsidRDefault="00CE269E" w:rsidP="00602D05">
      <w:r>
        <w:separator/>
      </w:r>
    </w:p>
  </w:footnote>
  <w:footnote w:type="continuationSeparator" w:id="0">
    <w:p w:rsidR="00CE269E" w:rsidRDefault="00CE269E" w:rsidP="0060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0EA"/>
    <w:multiLevelType w:val="hybridMultilevel"/>
    <w:tmpl w:val="655E2E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6C97"/>
    <w:multiLevelType w:val="hybridMultilevel"/>
    <w:tmpl w:val="CCD6A7A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77B1A"/>
    <w:multiLevelType w:val="hybridMultilevel"/>
    <w:tmpl w:val="436029DC"/>
    <w:lvl w:ilvl="0" w:tplc="DEF4E16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191F0D"/>
    <w:multiLevelType w:val="hybridMultilevel"/>
    <w:tmpl w:val="D44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04B2"/>
    <w:multiLevelType w:val="hybridMultilevel"/>
    <w:tmpl w:val="905A4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00AFA"/>
    <w:multiLevelType w:val="hybridMultilevel"/>
    <w:tmpl w:val="A116398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3"/>
    <w:rsid w:val="000409D1"/>
    <w:rsid w:val="000921FE"/>
    <w:rsid w:val="000F4C5C"/>
    <w:rsid w:val="00105E6A"/>
    <w:rsid w:val="0022552F"/>
    <w:rsid w:val="002601A8"/>
    <w:rsid w:val="002871F3"/>
    <w:rsid w:val="002B62A7"/>
    <w:rsid w:val="0030295C"/>
    <w:rsid w:val="003869C7"/>
    <w:rsid w:val="004101E9"/>
    <w:rsid w:val="004F4C25"/>
    <w:rsid w:val="0053036A"/>
    <w:rsid w:val="00554250"/>
    <w:rsid w:val="00602D05"/>
    <w:rsid w:val="00617482"/>
    <w:rsid w:val="00776BCA"/>
    <w:rsid w:val="00777C4B"/>
    <w:rsid w:val="00787FC6"/>
    <w:rsid w:val="00827B8D"/>
    <w:rsid w:val="00855371"/>
    <w:rsid w:val="00880AAD"/>
    <w:rsid w:val="008D104B"/>
    <w:rsid w:val="00911D8F"/>
    <w:rsid w:val="00924C2D"/>
    <w:rsid w:val="009A1530"/>
    <w:rsid w:val="00A049A1"/>
    <w:rsid w:val="00AD4F7A"/>
    <w:rsid w:val="00B77BA0"/>
    <w:rsid w:val="00B83D8A"/>
    <w:rsid w:val="00BC6594"/>
    <w:rsid w:val="00BE311F"/>
    <w:rsid w:val="00BE51FA"/>
    <w:rsid w:val="00C305DB"/>
    <w:rsid w:val="00CC2832"/>
    <w:rsid w:val="00CE269E"/>
    <w:rsid w:val="00D0688A"/>
    <w:rsid w:val="00D30BFC"/>
    <w:rsid w:val="00D3289E"/>
    <w:rsid w:val="00D420BD"/>
    <w:rsid w:val="00DA2BAD"/>
    <w:rsid w:val="00DB4413"/>
    <w:rsid w:val="00DE4832"/>
    <w:rsid w:val="00DE722E"/>
    <w:rsid w:val="00F5270B"/>
    <w:rsid w:val="00F567E7"/>
    <w:rsid w:val="00F62B91"/>
    <w:rsid w:val="00F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73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602D05"/>
    <w:rPr>
      <w:rFonts w:ascii="Cambria" w:eastAsia="SimSun" w:hAnsi="Cambria"/>
      <w:color w:val="000066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602D05"/>
    <w:rPr>
      <w:rFonts w:ascii="Cambria" w:eastAsia="SimSun" w:hAnsi="Cambria" w:cs="Times New Roman"/>
      <w:color w:val="000066"/>
      <w:sz w:val="24"/>
      <w:szCs w:val="21"/>
      <w:lang w:val="en-US"/>
    </w:rPr>
  </w:style>
  <w:style w:type="paragraph" w:customStyle="1" w:styleId="Default">
    <w:name w:val="Default"/>
    <w:rsid w:val="0060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602D05"/>
    <w:rPr>
      <w:color w:val="auto"/>
    </w:rPr>
  </w:style>
  <w:style w:type="paragraph" w:customStyle="1" w:styleId="CM4">
    <w:name w:val="CM4"/>
    <w:basedOn w:val="Default"/>
    <w:next w:val="Default"/>
    <w:rsid w:val="00602D05"/>
    <w:rPr>
      <w:color w:val="auto"/>
    </w:rPr>
  </w:style>
  <w:style w:type="paragraph" w:styleId="Footer">
    <w:name w:val="footer"/>
    <w:basedOn w:val="Normal"/>
    <w:link w:val="FooterChar"/>
    <w:semiHidden/>
    <w:rsid w:val="00602D05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02D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2D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C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2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73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602D05"/>
    <w:rPr>
      <w:rFonts w:ascii="Cambria" w:eastAsia="SimSun" w:hAnsi="Cambria"/>
      <w:color w:val="000066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602D05"/>
    <w:rPr>
      <w:rFonts w:ascii="Cambria" w:eastAsia="SimSun" w:hAnsi="Cambria" w:cs="Times New Roman"/>
      <w:color w:val="000066"/>
      <w:sz w:val="24"/>
      <w:szCs w:val="21"/>
      <w:lang w:val="en-US"/>
    </w:rPr>
  </w:style>
  <w:style w:type="paragraph" w:customStyle="1" w:styleId="Default">
    <w:name w:val="Default"/>
    <w:rsid w:val="0060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602D05"/>
    <w:rPr>
      <w:color w:val="auto"/>
    </w:rPr>
  </w:style>
  <w:style w:type="paragraph" w:customStyle="1" w:styleId="CM4">
    <w:name w:val="CM4"/>
    <w:basedOn w:val="Default"/>
    <w:next w:val="Default"/>
    <w:rsid w:val="00602D05"/>
    <w:rPr>
      <w:color w:val="auto"/>
    </w:rPr>
  </w:style>
  <w:style w:type="paragraph" w:styleId="Footer">
    <w:name w:val="footer"/>
    <w:basedOn w:val="Normal"/>
    <w:link w:val="FooterChar"/>
    <w:semiHidden/>
    <w:rsid w:val="00602D05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02D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2D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C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of International Arbitration</dc:creator>
  <cp:lastModifiedBy>Dilyara Nigmatullina</cp:lastModifiedBy>
  <cp:revision>2</cp:revision>
  <cp:lastPrinted>2013-07-18T13:06:00Z</cp:lastPrinted>
  <dcterms:created xsi:type="dcterms:W3CDTF">2013-07-31T07:20:00Z</dcterms:created>
  <dcterms:modified xsi:type="dcterms:W3CDTF">2013-07-31T07:20:00Z</dcterms:modified>
</cp:coreProperties>
</file>